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B3" w:rsidRPr="002E7661" w:rsidRDefault="008A09B3" w:rsidP="008A09B3">
      <w:pPr>
        <w:pStyle w:val="Heading1"/>
      </w:pPr>
      <w:bookmarkStart w:id="0" w:name="_Toc521404646"/>
      <w:r w:rsidRPr="002E7661">
        <w:t>PAYROLL POLICIES AND PROCEDURES</w:t>
      </w:r>
      <w:bookmarkEnd w:id="0"/>
    </w:p>
    <w:p w:rsidR="008A09B3" w:rsidRPr="002E7661" w:rsidRDefault="008A09B3" w:rsidP="008A09B3">
      <w:pPr>
        <w:pStyle w:val="Heading2"/>
      </w:pPr>
      <w:bookmarkStart w:id="1" w:name="_Toc521404647"/>
      <w:r w:rsidRPr="002E7661">
        <w:t>Timesheets</w:t>
      </w:r>
      <w:bookmarkEnd w:id="1"/>
    </w:p>
    <w:p w:rsidR="008A09B3" w:rsidRPr="002E7661" w:rsidRDefault="008A09B3" w:rsidP="008A09B3">
      <w:pPr>
        <w:rPr>
          <w:rFonts w:ascii="Berkeley UC Davis Book" w:hAnsi="Berkeley UC Davis Book"/>
        </w:rPr>
      </w:pPr>
      <w:r w:rsidRPr="002E7661">
        <w:rPr>
          <w:rFonts w:ascii="Berkeley UC Davis Book" w:hAnsi="Berkeley UC Davis Book"/>
        </w:rPr>
        <w:t xml:space="preserve">Timesheets document your working hours, training attendance, and prep hours. Time records you submit will be used to determine your pay for a specific time period. </w:t>
      </w:r>
    </w:p>
    <w:p w:rsidR="008A09B3" w:rsidRPr="002E7661" w:rsidRDefault="008A09B3" w:rsidP="008A09B3">
      <w:pPr>
        <w:rPr>
          <w:rFonts w:ascii="Berkeley UC Davis Book" w:hAnsi="Berkeley UC Davis Book"/>
        </w:rPr>
      </w:pPr>
    </w:p>
    <w:p w:rsidR="008A09B3" w:rsidRPr="002E7661" w:rsidRDefault="008A09B3" w:rsidP="008A09B3">
      <w:pPr>
        <w:rPr>
          <w:rFonts w:ascii="Berkeley UC Davis Book" w:hAnsi="Berkeley UC Davis Book"/>
        </w:rPr>
      </w:pPr>
      <w:r w:rsidRPr="002E7661">
        <w:rPr>
          <w:rFonts w:ascii="Berkeley UC Davis Book" w:hAnsi="Berkeley UC Davis Book"/>
        </w:rPr>
        <w:t xml:space="preserve">Accuracy, legibility, and punctuality in submitting time records are vital because they serve as permanent documents for pay purposes. Timesheets will be returned to the tutor if any necessary corrections or changes need to be made. </w:t>
      </w:r>
    </w:p>
    <w:p w:rsidR="008A09B3" w:rsidRPr="002E7661" w:rsidRDefault="008A09B3" w:rsidP="008A09B3">
      <w:pPr>
        <w:rPr>
          <w:rFonts w:ascii="Berkeley UC Davis Book" w:hAnsi="Berkeley UC Davis Book"/>
        </w:rPr>
      </w:pPr>
    </w:p>
    <w:p w:rsidR="008A09B3" w:rsidRPr="002E7661" w:rsidRDefault="008A09B3" w:rsidP="008A09B3">
      <w:pPr>
        <w:rPr>
          <w:rFonts w:ascii="Berkeley UC Davis Book" w:hAnsi="Berkeley UC Davis Book"/>
        </w:rPr>
      </w:pPr>
      <w:r w:rsidRPr="002E7661">
        <w:rPr>
          <w:rFonts w:ascii="Berkeley UC Davis Book" w:hAnsi="Berkeley UC Davis Book"/>
        </w:rPr>
        <w:t xml:space="preserve">At the </w:t>
      </w:r>
      <w:r>
        <w:rPr>
          <w:rFonts w:ascii="Berkeley UC Davis Book" w:hAnsi="Berkeley UC Davis Book"/>
        </w:rPr>
        <w:t>AATC</w:t>
      </w:r>
      <w:r w:rsidRPr="002E7661">
        <w:rPr>
          <w:rFonts w:ascii="Berkeley UC Davis Book" w:hAnsi="Berkeley UC Davis Book"/>
        </w:rPr>
        <w:t xml:space="preserve">, every other Friday marks the end of a pay period. Timesheets are due on these Fridays by 2:00 p.m. unless otherwise stated. If a pay period ends on a holiday, then timesheets are due by 2:00 p.m. on the last business day before the holiday. </w:t>
      </w:r>
    </w:p>
    <w:p w:rsidR="008A09B3" w:rsidRPr="002E7661" w:rsidRDefault="008A09B3" w:rsidP="008A09B3">
      <w:pPr>
        <w:rPr>
          <w:rFonts w:ascii="Berkeley UC Davis Book" w:hAnsi="Berkeley UC Davis Book"/>
        </w:rPr>
      </w:pPr>
    </w:p>
    <w:p w:rsidR="008A09B3" w:rsidRPr="002E7661" w:rsidRDefault="008A09B3" w:rsidP="008A09B3">
      <w:pPr>
        <w:rPr>
          <w:rFonts w:ascii="Berkeley UC Davis Book" w:hAnsi="Berkeley UC Davis Book"/>
        </w:rPr>
      </w:pPr>
      <w:r w:rsidRPr="002E7661">
        <w:rPr>
          <w:rFonts w:ascii="Berkeley UC Davis Book" w:hAnsi="Berkeley UC Davis Book"/>
          <w:b/>
        </w:rPr>
        <w:t>The following items must be included on each timesheet</w:t>
      </w:r>
      <w:r w:rsidRPr="002E7661">
        <w:rPr>
          <w:rFonts w:ascii="Berkeley UC Davis Book" w:hAnsi="Berkeley UC Davis Book"/>
        </w:rPr>
        <w:t>:</w:t>
      </w:r>
    </w:p>
    <w:p w:rsidR="008A09B3" w:rsidRPr="002E7661" w:rsidRDefault="008A09B3" w:rsidP="008A09B3">
      <w:pPr>
        <w:rPr>
          <w:rFonts w:ascii="Berkeley UC Davis Book" w:hAnsi="Berkeley UC Davis Book"/>
        </w:rPr>
      </w:pP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First and last name—please use your full legal name</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Pay period end date</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Date submitted</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Check the box indicating your tutoring assignment (Drop-In, Individual, or Both)</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 xml:space="preserve">Each tutoring assignment goes in a different box. </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If an individual tutor: fill in subject, day/time, tutee name, and circle the tutee’s program.</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 xml:space="preserve">If a drop-in tutor: fill in subject, day/time, and circle which drop-in position you worked. If you worked in the Residence Hall, please write which Residence Hall in the space provided for tutee’s name. </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Enter the total amount of time in the boxes that corresponds to the dates you tutored. Since some session do not use the full hour, you must record actual time worked to the nearest quarter hour. All entries must be numerical.</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All time entered must be rounded to the nearest quarter hour:</w:t>
      </w:r>
    </w:p>
    <w:p w:rsidR="008A09B3" w:rsidRPr="002E7661" w:rsidRDefault="008A09B3" w:rsidP="008A09B3">
      <w:pPr>
        <w:pStyle w:val="ListParagraph"/>
        <w:numPr>
          <w:ilvl w:val="2"/>
          <w:numId w:val="1"/>
        </w:numPr>
        <w:spacing w:after="200" w:line="276" w:lineRule="auto"/>
        <w:rPr>
          <w:rFonts w:ascii="Berkeley UC Davis Book" w:hAnsi="Berkeley UC Davis Book"/>
        </w:rPr>
      </w:pPr>
      <w:r w:rsidRPr="002E7661">
        <w:rPr>
          <w:rFonts w:ascii="Berkeley UC Davis Book" w:hAnsi="Berkeley UC Davis Book"/>
        </w:rPr>
        <w:t xml:space="preserve">15 minutes = .25 </w:t>
      </w:r>
      <w:proofErr w:type="spellStart"/>
      <w:r w:rsidRPr="002E7661">
        <w:rPr>
          <w:rFonts w:ascii="Berkeley UC Davis Book" w:hAnsi="Berkeley UC Davis Book"/>
        </w:rPr>
        <w:t>hr</w:t>
      </w:r>
      <w:proofErr w:type="spellEnd"/>
    </w:p>
    <w:p w:rsidR="008A09B3" w:rsidRPr="002E7661" w:rsidRDefault="008A09B3" w:rsidP="008A09B3">
      <w:pPr>
        <w:pStyle w:val="ListParagraph"/>
        <w:numPr>
          <w:ilvl w:val="2"/>
          <w:numId w:val="1"/>
        </w:numPr>
        <w:spacing w:after="200" w:line="276" w:lineRule="auto"/>
        <w:rPr>
          <w:rFonts w:ascii="Berkeley UC Davis Book" w:hAnsi="Berkeley UC Davis Book"/>
        </w:rPr>
      </w:pPr>
      <w:r w:rsidRPr="002E7661">
        <w:rPr>
          <w:rFonts w:ascii="Berkeley UC Davis Book" w:hAnsi="Berkeley UC Davis Book"/>
        </w:rPr>
        <w:t xml:space="preserve">30 minutes = .5 </w:t>
      </w:r>
      <w:proofErr w:type="spellStart"/>
      <w:r w:rsidRPr="002E7661">
        <w:rPr>
          <w:rFonts w:ascii="Berkeley UC Davis Book" w:hAnsi="Berkeley UC Davis Book"/>
        </w:rPr>
        <w:t>hr</w:t>
      </w:r>
      <w:proofErr w:type="spellEnd"/>
    </w:p>
    <w:p w:rsidR="008A09B3" w:rsidRPr="002E7661" w:rsidRDefault="008A09B3" w:rsidP="008A09B3">
      <w:pPr>
        <w:pStyle w:val="ListParagraph"/>
        <w:numPr>
          <w:ilvl w:val="2"/>
          <w:numId w:val="1"/>
        </w:numPr>
        <w:spacing w:after="200" w:line="276" w:lineRule="auto"/>
        <w:rPr>
          <w:rFonts w:ascii="Berkeley UC Davis Book" w:hAnsi="Berkeley UC Davis Book"/>
        </w:rPr>
      </w:pPr>
      <w:r w:rsidRPr="002E7661">
        <w:rPr>
          <w:rFonts w:ascii="Berkeley UC Davis Book" w:hAnsi="Berkeley UC Davis Book"/>
        </w:rPr>
        <w:t xml:space="preserve">45 minutes = .75 </w:t>
      </w:r>
      <w:proofErr w:type="spellStart"/>
      <w:r w:rsidRPr="002E7661">
        <w:rPr>
          <w:rFonts w:ascii="Berkeley UC Davis Book" w:hAnsi="Berkeley UC Davis Book"/>
        </w:rPr>
        <w:t>hr</w:t>
      </w:r>
      <w:proofErr w:type="spellEnd"/>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 xml:space="preserve">In the smaller boxes located in the lower right corner of the hourly boxes, indicate any absent codes that occurred an individual tutoring appointment. It is extremely important that you mark your attendance and your tutee’s attendance correctly. </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A = Tutee Absence</w:t>
      </w:r>
    </w:p>
    <w:p w:rsidR="008A09B3" w:rsidRPr="002E7661" w:rsidRDefault="008A09B3" w:rsidP="008A09B3">
      <w:pPr>
        <w:pStyle w:val="ListParagraph"/>
        <w:numPr>
          <w:ilvl w:val="2"/>
          <w:numId w:val="1"/>
        </w:numPr>
        <w:spacing w:after="200" w:line="276" w:lineRule="auto"/>
        <w:rPr>
          <w:rFonts w:ascii="Berkeley UC Davis Book" w:hAnsi="Berkeley UC Davis Book"/>
        </w:rPr>
      </w:pPr>
      <w:r w:rsidRPr="002E7661">
        <w:rPr>
          <w:rFonts w:ascii="Berkeley UC Davis Book" w:hAnsi="Berkeley UC Davis Book"/>
        </w:rPr>
        <w:t>Your individual tutee was absent and you did NOT partake in the “Instructional Materials Development” option</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T = Tutor Absence</w:t>
      </w:r>
    </w:p>
    <w:p w:rsidR="008A09B3" w:rsidRPr="002E7661" w:rsidRDefault="008A09B3" w:rsidP="008A09B3">
      <w:pPr>
        <w:pStyle w:val="ListParagraph"/>
        <w:numPr>
          <w:ilvl w:val="2"/>
          <w:numId w:val="1"/>
        </w:numPr>
        <w:spacing w:after="200" w:line="276" w:lineRule="auto"/>
        <w:rPr>
          <w:rFonts w:ascii="Berkeley UC Davis Book" w:hAnsi="Berkeley UC Davis Book"/>
        </w:rPr>
      </w:pPr>
      <w:r w:rsidRPr="002E7661">
        <w:rPr>
          <w:rFonts w:ascii="Berkeley UC Davis Book" w:hAnsi="Berkeley UC Davis Book"/>
        </w:rPr>
        <w:t xml:space="preserve">You were unable to attend a tutoring session and followed the proper policies to report the absence to the </w:t>
      </w:r>
      <w:r>
        <w:rPr>
          <w:rFonts w:ascii="Berkeley UC Davis Book" w:hAnsi="Berkeley UC Davis Book"/>
        </w:rPr>
        <w:t>AATC</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lastRenderedPageBreak/>
        <w:t>H = Holiday</w:t>
      </w:r>
    </w:p>
    <w:p w:rsidR="008A09B3" w:rsidRPr="002E7661" w:rsidRDefault="008A09B3" w:rsidP="008A09B3">
      <w:pPr>
        <w:pStyle w:val="ListParagraph"/>
        <w:numPr>
          <w:ilvl w:val="2"/>
          <w:numId w:val="1"/>
        </w:numPr>
        <w:spacing w:after="200" w:line="276" w:lineRule="auto"/>
        <w:rPr>
          <w:rFonts w:ascii="Berkeley UC Davis Book" w:hAnsi="Berkeley UC Davis Book"/>
        </w:rPr>
      </w:pPr>
      <w:r w:rsidRPr="002E7661">
        <w:rPr>
          <w:rFonts w:ascii="Berkeley UC Davis Book" w:hAnsi="Berkeley UC Davis Book"/>
        </w:rPr>
        <w:t xml:space="preserve">Holidays are not payed. You must put a zero for the number of hours worked if you were scheduled to work on a day in which a holiday fell. </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I = Instructional Materials Development</w:t>
      </w:r>
    </w:p>
    <w:p w:rsidR="008A09B3" w:rsidRPr="002E7661" w:rsidRDefault="008A09B3" w:rsidP="008A09B3">
      <w:pPr>
        <w:pStyle w:val="ListParagraph"/>
        <w:numPr>
          <w:ilvl w:val="2"/>
          <w:numId w:val="1"/>
        </w:numPr>
        <w:spacing w:after="200" w:line="276" w:lineRule="auto"/>
        <w:rPr>
          <w:rFonts w:ascii="Berkeley UC Davis Book" w:hAnsi="Berkeley UC Davis Book"/>
        </w:rPr>
      </w:pPr>
      <w:r w:rsidRPr="002E7661">
        <w:rPr>
          <w:rFonts w:ascii="Berkeley UC Davis Book" w:hAnsi="Berkeley UC Davis Book"/>
        </w:rPr>
        <w:t xml:space="preserve">Your individual tutee was absent, but you stayed the full length of your scheduled appointment to participate in the “Instructional Materials Development” </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R = Rescheduled Appointment</w:t>
      </w:r>
    </w:p>
    <w:p w:rsidR="008A09B3" w:rsidRPr="002E7661" w:rsidRDefault="008A09B3" w:rsidP="008A09B3">
      <w:pPr>
        <w:pStyle w:val="ListParagraph"/>
        <w:numPr>
          <w:ilvl w:val="2"/>
          <w:numId w:val="1"/>
        </w:numPr>
        <w:spacing w:after="200" w:line="276" w:lineRule="auto"/>
        <w:rPr>
          <w:rFonts w:ascii="Berkeley UC Davis Book" w:hAnsi="Berkeley UC Davis Book"/>
        </w:rPr>
      </w:pPr>
      <w:r w:rsidRPr="002E7661">
        <w:rPr>
          <w:rFonts w:ascii="Berkeley UC Davis Book" w:hAnsi="Berkeley UC Davis Book"/>
        </w:rPr>
        <w:t>Only for approved reschedules.</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 xml:space="preserve">Enter the total hours worked for the pay period based on the hours entered in the daily boxes for each assignment. </w:t>
      </w:r>
    </w:p>
    <w:p w:rsidR="008A09B3"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 xml:space="preserve">On the back of your timesheet, indicate the number of hours allotted for prep. Please note, however, that you should only claim the actual amount of hours you spent of prep. For example, if you were allotted three hours but only prepped for one, you can only claim one hour of prep. </w:t>
      </w:r>
    </w:p>
    <w:tbl>
      <w:tblPr>
        <w:tblStyle w:val="3"/>
        <w:tblW w:w="8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3"/>
        <w:gridCol w:w="1940"/>
        <w:gridCol w:w="2735"/>
      </w:tblGrid>
      <w:tr w:rsidR="008A09B3" w:rsidRPr="002E7661" w:rsidTr="00D53657">
        <w:trPr>
          <w:trHeight w:val="520"/>
          <w:jc w:val="center"/>
        </w:trPr>
        <w:tc>
          <w:tcPr>
            <w:tcW w:w="3363" w:type="dxa"/>
            <w:tcBorders>
              <w:top w:val="nil"/>
              <w:left w:val="nil"/>
              <w:bottom w:val="single" w:sz="4" w:space="0" w:color="000000" w:themeColor="text1"/>
            </w:tcBorders>
          </w:tcPr>
          <w:p w:rsidR="008A09B3" w:rsidRPr="002E7661" w:rsidRDefault="008A09B3" w:rsidP="00D53657">
            <w:pPr>
              <w:spacing w:beforeAutospacing="1" w:afterAutospacing="1"/>
              <w:jc w:val="center"/>
              <w:rPr>
                <w:rFonts w:ascii="Berkeley UC Davis Book" w:hAnsi="Berkeley UC Davis Book"/>
                <w:b/>
              </w:rPr>
            </w:pPr>
            <w:r w:rsidRPr="002E7661">
              <w:rPr>
                <w:rFonts w:ascii="Berkeley UC Davis Book" w:eastAsia="Georgia" w:hAnsi="Berkeley UC Davis Book" w:cs="Georgia"/>
                <w:b/>
              </w:rPr>
              <w:t>Tutoring Position</w:t>
            </w:r>
          </w:p>
        </w:tc>
        <w:tc>
          <w:tcPr>
            <w:tcW w:w="1940" w:type="dxa"/>
            <w:tcBorders>
              <w:top w:val="nil"/>
              <w:bottom w:val="single" w:sz="4" w:space="0" w:color="000000" w:themeColor="text1"/>
              <w:right w:val="single" w:sz="4" w:space="0" w:color="auto"/>
            </w:tcBorders>
          </w:tcPr>
          <w:p w:rsidR="008A09B3" w:rsidRPr="002E7661" w:rsidRDefault="008A09B3" w:rsidP="00D53657">
            <w:pPr>
              <w:spacing w:beforeAutospacing="1" w:afterAutospacing="1"/>
              <w:jc w:val="center"/>
              <w:rPr>
                <w:rFonts w:ascii="Berkeley UC Davis Book" w:hAnsi="Berkeley UC Davis Book"/>
                <w:b/>
              </w:rPr>
            </w:pPr>
            <w:r w:rsidRPr="002E7661">
              <w:rPr>
                <w:rFonts w:ascii="Berkeley UC Davis Book" w:eastAsia="Georgia" w:hAnsi="Berkeley UC Davis Book" w:cs="Georgia"/>
                <w:b/>
              </w:rPr>
              <w:t>Paid Prep</w:t>
            </w:r>
          </w:p>
        </w:tc>
        <w:tc>
          <w:tcPr>
            <w:tcW w:w="2735" w:type="dxa"/>
            <w:tcBorders>
              <w:top w:val="nil"/>
              <w:left w:val="single" w:sz="4" w:space="0" w:color="auto"/>
              <w:bottom w:val="single" w:sz="4" w:space="0" w:color="auto"/>
              <w:right w:val="nil"/>
            </w:tcBorders>
          </w:tcPr>
          <w:p w:rsidR="008A09B3" w:rsidRPr="002E7661" w:rsidRDefault="008A09B3" w:rsidP="00D53657">
            <w:pPr>
              <w:spacing w:beforeAutospacing="1" w:afterAutospacing="1"/>
              <w:jc w:val="center"/>
              <w:rPr>
                <w:rFonts w:ascii="Berkeley UC Davis Book" w:hAnsi="Berkeley UC Davis Book"/>
                <w:b/>
              </w:rPr>
            </w:pPr>
            <w:r w:rsidRPr="002E7661">
              <w:rPr>
                <w:rFonts w:ascii="Berkeley UC Davis Book" w:eastAsia="Georgia" w:hAnsi="Berkeley UC Davis Book" w:cs="Georgia"/>
                <w:b/>
              </w:rPr>
              <w:t>How to Calculate Paid Prep Hours</w:t>
            </w:r>
          </w:p>
        </w:tc>
      </w:tr>
      <w:tr w:rsidR="008A09B3" w:rsidRPr="002E7661" w:rsidTr="00D53657">
        <w:trPr>
          <w:trHeight w:val="454"/>
          <w:jc w:val="center"/>
        </w:trPr>
        <w:tc>
          <w:tcPr>
            <w:tcW w:w="3363" w:type="dxa"/>
            <w:tcBorders>
              <w:top w:val="single" w:sz="4" w:space="0" w:color="000000" w:themeColor="text1"/>
              <w:left w:val="nil"/>
              <w:bottom w:val="nil"/>
              <w:right w:val="single" w:sz="4" w:space="0" w:color="000000" w:themeColor="text1"/>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eastAsia="Georgia" w:hAnsi="Berkeley UC Davis Book" w:cs="Georgia"/>
              </w:rPr>
              <w:t>Non-writing drop-in tutoring</w:t>
            </w:r>
          </w:p>
        </w:tc>
        <w:tc>
          <w:tcPr>
            <w:tcW w:w="1940" w:type="dxa"/>
            <w:tcBorders>
              <w:top w:val="single" w:sz="4" w:space="0" w:color="000000" w:themeColor="text1"/>
              <w:left w:val="single" w:sz="4" w:space="0" w:color="000000" w:themeColor="text1"/>
              <w:bottom w:val="nil"/>
              <w:right w:val="single" w:sz="4" w:space="0" w:color="auto"/>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eastAsia="Georgia" w:hAnsi="Berkeley UC Davis Book" w:cs="Georgia"/>
              </w:rPr>
              <w:t>Yes</w:t>
            </w:r>
          </w:p>
        </w:tc>
        <w:tc>
          <w:tcPr>
            <w:tcW w:w="2735" w:type="dxa"/>
            <w:tcBorders>
              <w:top w:val="single" w:sz="4" w:space="0" w:color="auto"/>
              <w:left w:val="single" w:sz="4" w:space="0" w:color="auto"/>
              <w:bottom w:val="nil"/>
              <w:right w:val="nil"/>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eastAsia="Georgia" w:hAnsi="Berkeley UC Davis Book" w:cs="Georgia"/>
              </w:rPr>
              <w:t>1 hour/series/week</w:t>
            </w:r>
          </w:p>
        </w:tc>
      </w:tr>
      <w:tr w:rsidR="008A09B3" w:rsidRPr="002E7661" w:rsidTr="00D53657">
        <w:trPr>
          <w:trHeight w:val="429"/>
          <w:jc w:val="center"/>
        </w:trPr>
        <w:tc>
          <w:tcPr>
            <w:tcW w:w="3363" w:type="dxa"/>
            <w:tcBorders>
              <w:top w:val="nil"/>
              <w:left w:val="nil"/>
              <w:bottom w:val="nil"/>
              <w:right w:val="single" w:sz="4" w:space="0" w:color="000000" w:themeColor="text1"/>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eastAsia="Georgia" w:hAnsi="Berkeley UC Davis Book" w:cs="Georgia"/>
              </w:rPr>
              <w:t>Individual tutoring</w:t>
            </w:r>
          </w:p>
        </w:tc>
        <w:tc>
          <w:tcPr>
            <w:tcW w:w="1940" w:type="dxa"/>
            <w:tcBorders>
              <w:top w:val="nil"/>
              <w:left w:val="single" w:sz="4" w:space="0" w:color="000000" w:themeColor="text1"/>
              <w:bottom w:val="nil"/>
              <w:right w:val="single" w:sz="4" w:space="0" w:color="auto"/>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hAnsi="Berkeley UC Davis Book"/>
              </w:rPr>
              <w:t>Yes</w:t>
            </w:r>
          </w:p>
        </w:tc>
        <w:tc>
          <w:tcPr>
            <w:tcW w:w="2735" w:type="dxa"/>
            <w:tcBorders>
              <w:top w:val="nil"/>
              <w:left w:val="single" w:sz="4" w:space="0" w:color="auto"/>
              <w:bottom w:val="nil"/>
              <w:right w:val="nil"/>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hAnsi="Berkeley UC Davis Book"/>
              </w:rPr>
              <w:t>1 hour/</w:t>
            </w:r>
            <w:r>
              <w:rPr>
                <w:rFonts w:ascii="Berkeley UC Davis Book" w:hAnsi="Berkeley UC Davis Book"/>
              </w:rPr>
              <w:t>series</w:t>
            </w:r>
            <w:r w:rsidRPr="002E7661">
              <w:rPr>
                <w:rFonts w:ascii="Berkeley UC Davis Book" w:hAnsi="Berkeley UC Davis Book"/>
              </w:rPr>
              <w:t>/week *</w:t>
            </w:r>
          </w:p>
        </w:tc>
      </w:tr>
      <w:tr w:rsidR="008A09B3" w:rsidRPr="002E7661" w:rsidTr="00D53657">
        <w:trPr>
          <w:trHeight w:val="429"/>
          <w:jc w:val="center"/>
        </w:trPr>
        <w:tc>
          <w:tcPr>
            <w:tcW w:w="3363" w:type="dxa"/>
            <w:tcBorders>
              <w:top w:val="nil"/>
              <w:left w:val="nil"/>
              <w:bottom w:val="nil"/>
              <w:right w:val="single" w:sz="4" w:space="0" w:color="000000" w:themeColor="text1"/>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hAnsi="Berkeley UC Davis Book"/>
              </w:rPr>
              <w:t>Writing drop-in</w:t>
            </w:r>
          </w:p>
        </w:tc>
        <w:tc>
          <w:tcPr>
            <w:tcW w:w="1940" w:type="dxa"/>
            <w:tcBorders>
              <w:top w:val="nil"/>
              <w:left w:val="single" w:sz="4" w:space="0" w:color="000000" w:themeColor="text1"/>
              <w:bottom w:val="nil"/>
              <w:right w:val="single" w:sz="4" w:space="0" w:color="auto"/>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eastAsia="Georgia" w:hAnsi="Berkeley UC Davis Book" w:cs="Georgia"/>
              </w:rPr>
              <w:t>No</w:t>
            </w:r>
          </w:p>
        </w:tc>
        <w:tc>
          <w:tcPr>
            <w:tcW w:w="2735" w:type="dxa"/>
            <w:tcBorders>
              <w:top w:val="nil"/>
              <w:left w:val="single" w:sz="4" w:space="0" w:color="auto"/>
              <w:bottom w:val="nil"/>
              <w:right w:val="nil"/>
            </w:tcBorders>
          </w:tcPr>
          <w:p w:rsidR="008A09B3" w:rsidRPr="002E7661" w:rsidRDefault="008A09B3" w:rsidP="00D53657">
            <w:pPr>
              <w:spacing w:beforeAutospacing="1" w:afterAutospacing="1"/>
              <w:jc w:val="center"/>
              <w:rPr>
                <w:rFonts w:ascii="Berkeley UC Davis Book" w:hAnsi="Berkeley UC Davis Book"/>
              </w:rPr>
            </w:pPr>
            <w:r w:rsidRPr="002E7661">
              <w:rPr>
                <w:rFonts w:ascii="Berkeley UC Davis Book" w:eastAsia="Georgia" w:hAnsi="Berkeley UC Davis Book" w:cs="Georgia"/>
              </w:rPr>
              <w:t>–</w:t>
            </w:r>
          </w:p>
        </w:tc>
      </w:tr>
    </w:tbl>
    <w:p w:rsidR="008A09B3" w:rsidRPr="002E7661" w:rsidRDefault="008A09B3" w:rsidP="008A09B3">
      <w:pPr>
        <w:pStyle w:val="ListParagraph"/>
        <w:spacing w:after="200" w:line="276" w:lineRule="auto"/>
        <w:rPr>
          <w:rFonts w:ascii="Berkeley UC Davis Book" w:hAnsi="Berkeley UC Davis Book"/>
        </w:rPr>
      </w:pP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 xml:space="preserve">Indicate the allotted hours of training you completed during the pay period. For certain trainings, there are allotted maximums for time spent on the training for which you will be paid. This applies to the following trainings: </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Online Prevention of Sexual Harassment Training—1 hour</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Ethics Training—30 minutes</w:t>
      </w:r>
    </w:p>
    <w:p w:rsidR="008A09B3" w:rsidRPr="002E7661" w:rsidRDefault="008A09B3" w:rsidP="008A09B3">
      <w:pPr>
        <w:pStyle w:val="ListParagraph"/>
        <w:numPr>
          <w:ilvl w:val="1"/>
          <w:numId w:val="1"/>
        </w:numPr>
        <w:spacing w:after="200" w:line="276" w:lineRule="auto"/>
        <w:rPr>
          <w:rFonts w:ascii="Berkeley UC Davis Book" w:hAnsi="Berkeley UC Davis Book"/>
        </w:rPr>
      </w:pPr>
      <w:r w:rsidRPr="002E7661">
        <w:rPr>
          <w:rFonts w:ascii="Berkeley UC Davis Book" w:hAnsi="Berkeley UC Davis Book"/>
        </w:rPr>
        <w:t>Cyber Security Training—1 hour</w:t>
      </w:r>
    </w:p>
    <w:p w:rsidR="008A09B3" w:rsidRPr="002E7661" w:rsidRDefault="008A09B3" w:rsidP="008A09B3">
      <w:pPr>
        <w:pStyle w:val="ListParagraph"/>
        <w:rPr>
          <w:rFonts w:ascii="Berkeley UC Davis Book" w:hAnsi="Berkeley UC Davis Book"/>
        </w:rPr>
      </w:pPr>
      <w:r w:rsidRPr="002E7661">
        <w:rPr>
          <w:rFonts w:ascii="Berkeley UC Davis Book" w:hAnsi="Berkeley UC Davis Book"/>
        </w:rPr>
        <w:t xml:space="preserve">If it took you less time to finish the trainings, then you must indicate how much time actually spent on the training. </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Use the notes section to explain anything that may be unclear on your timesheet. If you rescheduled an appointment, covered someone’s shift, etc., then this is the place where you would explain your unique situation.</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 xml:space="preserve">Total your hours from tutoring, training, and prep. </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Print your name.</w:t>
      </w:r>
    </w:p>
    <w:p w:rsidR="008A09B3" w:rsidRPr="002E7661" w:rsidRDefault="008A09B3" w:rsidP="008A09B3">
      <w:pPr>
        <w:pStyle w:val="ListParagraph"/>
        <w:numPr>
          <w:ilvl w:val="0"/>
          <w:numId w:val="1"/>
        </w:numPr>
        <w:spacing w:after="200" w:line="276" w:lineRule="auto"/>
        <w:rPr>
          <w:rFonts w:ascii="Berkeley UC Davis Book" w:hAnsi="Berkeley UC Davis Book"/>
        </w:rPr>
      </w:pPr>
      <w:r w:rsidRPr="002E7661">
        <w:rPr>
          <w:rFonts w:ascii="Berkeley UC Davis Book" w:hAnsi="Berkeley UC Davis Book"/>
        </w:rPr>
        <w:t>Sign your name. Timesheets cannot be processed if there is not a signature. If you forget this important step, it may delay</w:t>
      </w:r>
      <w:r>
        <w:rPr>
          <w:rFonts w:ascii="Berkeley UC Davis Book" w:hAnsi="Berkeley UC Davis Book"/>
        </w:rPr>
        <w:t xml:space="preserve"> the process, resulting in you </w:t>
      </w:r>
      <w:r w:rsidRPr="002E7661">
        <w:rPr>
          <w:rFonts w:ascii="Berkeley UC Davis Book" w:hAnsi="Berkeley UC Davis Book"/>
        </w:rPr>
        <w:t xml:space="preserve">not getting paid until the next pay period. </w:t>
      </w:r>
    </w:p>
    <w:p w:rsidR="008A09B3" w:rsidRPr="002E7661" w:rsidRDefault="008A09B3" w:rsidP="008A09B3">
      <w:pPr>
        <w:rPr>
          <w:rFonts w:ascii="Berkeley UC Davis Book" w:hAnsi="Berkeley UC Davis Book"/>
        </w:rPr>
      </w:pPr>
      <w:r w:rsidRPr="002E7661">
        <w:rPr>
          <w:rFonts w:ascii="Berkeley UC Davis Book" w:hAnsi="Berkeley UC Davis Book"/>
        </w:rPr>
        <w:t xml:space="preserve">If a tutor does not turn in a timesheet by 2PM on the designated Friday, the tutor must submit a timesheet during the next pay period and it should be on a separate timesheet with the correct </w:t>
      </w:r>
      <w:r w:rsidRPr="002E7661">
        <w:rPr>
          <w:rFonts w:ascii="Berkeley UC Davis Book" w:hAnsi="Berkeley UC Davis Book"/>
        </w:rPr>
        <w:lastRenderedPageBreak/>
        <w:t xml:space="preserve">pay period end date. As a result of not turning a timesheet in on time, the pay will be delayed an entire pay period. </w:t>
      </w:r>
    </w:p>
    <w:p w:rsidR="00B602BD" w:rsidRDefault="00B602BD"/>
    <w:p w:rsidR="008A09B3" w:rsidRPr="008A09B3" w:rsidRDefault="008A09B3" w:rsidP="008A09B3">
      <w:pPr>
        <w:rPr>
          <w:rFonts w:ascii="Berkeley UC Davis Book" w:hAnsi="Berkeley UC Davis Book"/>
          <w:b/>
          <w:u w:val="single"/>
        </w:rPr>
      </w:pPr>
      <w:r w:rsidRPr="008A09B3">
        <w:rPr>
          <w:rFonts w:ascii="Berkeley UC Davis Book" w:hAnsi="Berkeley UC Davis Book"/>
          <w:b/>
          <w:u w:val="single"/>
        </w:rPr>
        <w:t>Pay Checks</w:t>
      </w:r>
    </w:p>
    <w:p w:rsidR="008A09B3" w:rsidRPr="008A09B3" w:rsidRDefault="008A09B3" w:rsidP="008A09B3">
      <w:pPr>
        <w:rPr>
          <w:rFonts w:ascii="Berkeley UC Davis Book" w:hAnsi="Berkeley UC Davis Book"/>
        </w:rPr>
      </w:pPr>
      <w:r w:rsidRPr="008A09B3">
        <w:rPr>
          <w:rFonts w:ascii="Berkeley UC Davis Book" w:hAnsi="Berkeley UC Davis Book"/>
        </w:rPr>
        <w:t xml:space="preserve">Pay checks are issued two Wednesdays—12 days—later. We highly recommend you sign up for Direct Deposit, which you can do here: </w:t>
      </w:r>
      <w:hyperlink r:id="rId5" w:history="1">
        <w:r w:rsidRPr="008A09B3">
          <w:rPr>
            <w:rStyle w:val="Hyperlink"/>
            <w:rFonts w:ascii="Berkeley UC Davis Book" w:hAnsi="Berkeley UC Davis Book"/>
          </w:rPr>
          <w:t>http://afs.ucdavis.edu/our_services/account_payable/help-and-resources/direct-deposit.html</w:t>
        </w:r>
      </w:hyperlink>
      <w:r w:rsidRPr="008A09B3">
        <w:rPr>
          <w:rFonts w:ascii="Berkeley UC Davis Book" w:hAnsi="Berkeley UC Davis Book"/>
        </w:rPr>
        <w:t xml:space="preserve">. If you do not utilize Direct Deposit, you can pick up a paper paycheck at the </w:t>
      </w:r>
      <w:r>
        <w:rPr>
          <w:rFonts w:ascii="Berkeley UC Davis Book" w:hAnsi="Berkeley UC Davis Book"/>
        </w:rPr>
        <w:t>AATC</w:t>
      </w:r>
      <w:r w:rsidRPr="008A09B3">
        <w:rPr>
          <w:rFonts w:ascii="Berkeley UC Davis Book" w:hAnsi="Berkeley UC Davis Book"/>
        </w:rPr>
        <w:t xml:space="preserve"> Front Desk in 2205 Dutton Hall after 11:00AM on the Wednesday the pay checks are issued. </w:t>
      </w:r>
    </w:p>
    <w:p w:rsidR="008A09B3" w:rsidRPr="008A09B3" w:rsidRDefault="008A09B3" w:rsidP="008A09B3">
      <w:pPr>
        <w:pStyle w:val="Heading3"/>
      </w:pPr>
      <w:bookmarkStart w:id="2" w:name="_GoBack"/>
      <w:bookmarkEnd w:id="2"/>
    </w:p>
    <w:sectPr w:rsidR="008A09B3" w:rsidRPr="008A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erkeley UC Davis Book">
    <w:panose1 w:val="02090402050306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A219C"/>
    <w:multiLevelType w:val="hybridMultilevel"/>
    <w:tmpl w:val="ED346A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B3"/>
    <w:rsid w:val="008A09B3"/>
    <w:rsid w:val="008E4DBB"/>
    <w:rsid w:val="00B6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3C90"/>
  <w15:chartTrackingRefBased/>
  <w15:docId w15:val="{91E91242-70E3-46F9-846C-65770E64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3"/>
    <w:rsid w:val="008A09B3"/>
    <w:pPr>
      <w:spacing w:after="0" w:line="240" w:lineRule="auto"/>
    </w:pPr>
    <w:rPr>
      <w:rFonts w:ascii="Georgia" w:eastAsia="Times New Roman" w:hAnsi="Georgia" w:cs="Times New Roman"/>
      <w:color w:val="000000"/>
      <w:sz w:val="24"/>
      <w:szCs w:val="24"/>
    </w:rPr>
  </w:style>
  <w:style w:type="paragraph" w:styleId="Heading1">
    <w:name w:val="heading 1"/>
    <w:basedOn w:val="Normal"/>
    <w:next w:val="Normal"/>
    <w:link w:val="Heading1Char"/>
    <w:rsid w:val="008A09B3"/>
    <w:pPr>
      <w:keepNext/>
      <w:keepLines/>
      <w:spacing w:before="320" w:after="320"/>
      <w:ind w:left="360" w:hanging="360"/>
      <w:jc w:val="center"/>
      <w:outlineLvl w:val="0"/>
    </w:pPr>
    <w:rPr>
      <w:rFonts w:ascii="Berkeley UC Davis Book" w:eastAsia="Georgia" w:hAnsi="Berkeley UC Davis Book"/>
      <w:b/>
      <w:sz w:val="28"/>
      <w:szCs w:val="28"/>
    </w:rPr>
  </w:style>
  <w:style w:type="paragraph" w:styleId="Heading2">
    <w:name w:val="heading 2"/>
    <w:basedOn w:val="Normal"/>
    <w:next w:val="Normal"/>
    <w:link w:val="Heading2Char"/>
    <w:rsid w:val="008A09B3"/>
    <w:pPr>
      <w:keepNext/>
      <w:keepLines/>
      <w:spacing w:before="280" w:after="280"/>
      <w:outlineLvl w:val="1"/>
    </w:pPr>
    <w:rPr>
      <w:rFonts w:ascii="Berkeley UC Davis Book" w:eastAsia="Georgia" w:hAnsi="Berkeley UC Davis Book" w:cstheme="majorBidi"/>
      <w:b/>
      <w:bCs/>
      <w:color w:val="000000" w:themeColor="text1"/>
      <w:szCs w:val="28"/>
      <w:u w:val="single"/>
    </w:rPr>
  </w:style>
  <w:style w:type="paragraph" w:styleId="Heading3">
    <w:name w:val="heading 3"/>
    <w:basedOn w:val="Normal"/>
    <w:next w:val="Normal"/>
    <w:link w:val="Heading3Char"/>
    <w:uiPriority w:val="9"/>
    <w:semiHidden/>
    <w:unhideWhenUsed/>
    <w:qFormat/>
    <w:rsid w:val="008A09B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B3"/>
    <w:rPr>
      <w:rFonts w:ascii="Berkeley UC Davis Book" w:eastAsia="Georgia" w:hAnsi="Berkeley UC Davis Book" w:cs="Times New Roman"/>
      <w:b/>
      <w:color w:val="000000"/>
      <w:sz w:val="28"/>
      <w:szCs w:val="28"/>
    </w:rPr>
  </w:style>
  <w:style w:type="character" w:customStyle="1" w:styleId="Heading2Char">
    <w:name w:val="Heading 2 Char"/>
    <w:basedOn w:val="DefaultParagraphFont"/>
    <w:link w:val="Heading2"/>
    <w:rsid w:val="008A09B3"/>
    <w:rPr>
      <w:rFonts w:ascii="Berkeley UC Davis Book" w:eastAsia="Georgia" w:hAnsi="Berkeley UC Davis Book" w:cstheme="majorBidi"/>
      <w:b/>
      <w:bCs/>
      <w:color w:val="000000" w:themeColor="text1"/>
      <w:sz w:val="24"/>
      <w:szCs w:val="28"/>
      <w:u w:val="single"/>
    </w:rPr>
  </w:style>
  <w:style w:type="paragraph" w:styleId="ListParagraph">
    <w:name w:val="List Paragraph"/>
    <w:basedOn w:val="Normal"/>
    <w:uiPriority w:val="34"/>
    <w:qFormat/>
    <w:rsid w:val="008A09B3"/>
    <w:pPr>
      <w:ind w:left="720"/>
      <w:contextualSpacing/>
    </w:pPr>
  </w:style>
  <w:style w:type="character" w:customStyle="1" w:styleId="Heading3Char">
    <w:name w:val="Heading 3 Char"/>
    <w:basedOn w:val="DefaultParagraphFont"/>
    <w:link w:val="Heading3"/>
    <w:uiPriority w:val="9"/>
    <w:semiHidden/>
    <w:rsid w:val="008A09B3"/>
    <w:rPr>
      <w:rFonts w:asciiTheme="majorHAnsi" w:eastAsiaTheme="majorEastAsia" w:hAnsiTheme="majorHAnsi" w:cstheme="majorBidi"/>
      <w:color w:val="243F60" w:themeColor="accent1" w:themeShade="7F"/>
      <w:sz w:val="24"/>
      <w:szCs w:val="24"/>
    </w:rPr>
  </w:style>
  <w:style w:type="table" w:customStyle="1" w:styleId="3">
    <w:name w:val="3"/>
    <w:basedOn w:val="TableNormal"/>
    <w:rsid w:val="008A09B3"/>
    <w:pPr>
      <w:spacing w:after="0" w:line="240" w:lineRule="auto"/>
    </w:pPr>
    <w:rPr>
      <w:rFonts w:ascii="Times New Roman" w:eastAsia="Times New Roman" w:hAnsi="Times New Roman" w:cs="Times New Roman"/>
      <w:color w:val="000000"/>
      <w:sz w:val="24"/>
      <w:szCs w:val="24"/>
    </w:rPr>
    <w:tblPr>
      <w:tblStyleRowBandSize w:val="1"/>
      <w:tblStyleColBandSize w:val="1"/>
    </w:tblPr>
  </w:style>
  <w:style w:type="character" w:styleId="Hyperlink">
    <w:name w:val="Hyperlink"/>
    <w:basedOn w:val="DefaultParagraphFont"/>
    <w:uiPriority w:val="99"/>
    <w:unhideWhenUsed/>
    <w:rsid w:val="008A0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fs.ucdavis.edu/our_services/account_payable/help-and-resources/direct-depos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AATC-ICAStudent</dc:creator>
  <cp:keywords/>
  <dc:description/>
  <cp:lastModifiedBy>AATC-ICAStudent</cp:lastModifiedBy>
  <cp:revision>1</cp:revision>
  <dcterms:created xsi:type="dcterms:W3CDTF">2018-08-13T18:29:00Z</dcterms:created>
  <dcterms:modified xsi:type="dcterms:W3CDTF">2018-08-13T18:32:00Z</dcterms:modified>
</cp:coreProperties>
</file>